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E429A">
        <w:rPr>
          <w:rFonts w:ascii="Times New Roman" w:hAnsi="Times New Roman" w:cs="Times New Roman"/>
          <w:b/>
          <w:sz w:val="28"/>
          <w:szCs w:val="28"/>
        </w:rPr>
        <w:t xml:space="preserve">бюджетное общеобразовательное </w:t>
      </w:r>
      <w:r w:rsidR="000E0926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7E429A">
        <w:rPr>
          <w:rFonts w:ascii="Times New Roman" w:hAnsi="Times New Roman" w:cs="Times New Roman"/>
          <w:b/>
          <w:sz w:val="28"/>
          <w:szCs w:val="28"/>
        </w:rPr>
        <w:t>е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51A14">
        <w:rPr>
          <w:rFonts w:ascii="Times New Roman" w:hAnsi="Times New Roman" w:cs="Times New Roman"/>
          <w:b/>
          <w:sz w:val="28"/>
          <w:szCs w:val="28"/>
        </w:rPr>
        <w:t>Мыютинская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7E429A" w:rsidRDefault="00237BE2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042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0E0926" w:rsidRDefault="007E429A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546A">
        <w:rPr>
          <w:rFonts w:ascii="Times New Roman" w:hAnsi="Times New Roman" w:cs="Times New Roman"/>
          <w:b/>
          <w:sz w:val="28"/>
          <w:szCs w:val="28"/>
        </w:rPr>
        <w:t xml:space="preserve">Мыютинская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0E0926" w:rsidRDefault="000E0926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0E0926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 w:rsidR="00EA546A" w:rsidRPr="00EA546A">
        <w:rPr>
          <w:rFonts w:ascii="Times New Roman" w:hAnsi="Times New Roman"/>
          <w:sz w:val="28"/>
          <w:szCs w:val="28"/>
        </w:rPr>
        <w:t>Мыютинская</w:t>
      </w:r>
      <w:r w:rsidR="009F2E83">
        <w:rPr>
          <w:rFonts w:ascii="Times New Roman" w:hAnsi="Times New Roman"/>
          <w:sz w:val="28"/>
          <w:szCs w:val="28"/>
        </w:rPr>
        <w:t xml:space="preserve"> </w:t>
      </w:r>
      <w:r w:rsidR="007E429A" w:rsidRPr="007E429A">
        <w:rPr>
          <w:rFonts w:ascii="Times New Roman" w:hAnsi="Times New Roman"/>
          <w:sz w:val="28"/>
          <w:szCs w:val="28"/>
        </w:rPr>
        <w:t>общеобразовательная школа»</w:t>
      </w:r>
      <w:r w:rsidR="000E0926" w:rsidRPr="000E0926">
        <w:rPr>
          <w:rFonts w:ascii="Times New Roman" w:hAnsi="Times New Roman" w:cs="Times New Roman"/>
          <w:sz w:val="28"/>
          <w:szCs w:val="28"/>
        </w:rPr>
        <w:t>.</w:t>
      </w:r>
    </w:p>
    <w:p w:rsidR="000E0926" w:rsidRDefault="000E0926" w:rsidP="000E0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>, в соответствии с договором №</w:t>
      </w:r>
      <w:r w:rsidR="009F2E8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9F2E83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9F2E83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F2E8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 w:rsidR="009F2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955277">
        <w:rPr>
          <w:rFonts w:ascii="Times New Roman" w:hAnsi="Times New Roman" w:cs="Times New Roman"/>
          <w:b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9F2E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9F2E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7E429A" w:rsidRDefault="00DC718A" w:rsidP="007E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9F2E83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 w:rsidR="00EA546A" w:rsidRPr="00EA546A">
        <w:rPr>
          <w:rFonts w:ascii="Times New Roman" w:hAnsi="Times New Roman"/>
          <w:sz w:val="28"/>
          <w:szCs w:val="28"/>
        </w:rPr>
        <w:t>Мыютинская</w:t>
      </w:r>
      <w:r w:rsidR="009F2E83">
        <w:rPr>
          <w:rFonts w:ascii="Times New Roman" w:hAnsi="Times New Roman"/>
          <w:sz w:val="28"/>
          <w:szCs w:val="28"/>
        </w:rPr>
        <w:t xml:space="preserve"> </w:t>
      </w:r>
      <w:r w:rsidR="007E429A" w:rsidRPr="007E429A">
        <w:rPr>
          <w:rFonts w:ascii="Times New Roman" w:hAnsi="Times New Roman"/>
          <w:sz w:val="28"/>
          <w:szCs w:val="28"/>
        </w:rPr>
        <w:t>общеобразовательная школа»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сайтов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 w:rsidRPr="007C5189">
        <w:rPr>
          <w:rFonts w:ascii="Times New Roman" w:hAnsi="Times New Roman" w:cs="Times New Roman"/>
          <w:sz w:val="28"/>
          <w:szCs w:val="28"/>
        </w:rPr>
        <w:t xml:space="preserve">, оценка качества работы по критериям была проведена по графику в период 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с </w:t>
      </w:r>
      <w:r w:rsidR="009F2E83">
        <w:rPr>
          <w:rFonts w:ascii="Times New Roman" w:hAnsi="Times New Roman" w:cs="Times New Roman"/>
          <w:sz w:val="28"/>
          <w:szCs w:val="28"/>
        </w:rPr>
        <w:t>16</w:t>
      </w:r>
      <w:r w:rsidRPr="007C5189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Pr="009F2E83" w:rsidRDefault="00047E7C" w:rsidP="009F2E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муниципального бюджетного образовательного учреждения</w:t>
      </w:r>
      <w:r>
        <w:rPr>
          <w:rStyle w:val="a8"/>
          <w:sz w:val="28"/>
          <w:szCs w:val="28"/>
        </w:rPr>
        <w:t>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9F2E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9F2E83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 через сайт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DC718A">
        <w:rPr>
          <w:rFonts w:ascii="Times New Roman" w:hAnsi="Times New Roman" w:cs="Times New Roman"/>
          <w:sz w:val="28"/>
          <w:szCs w:val="28"/>
        </w:rPr>
        <w:t>30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DC718A">
        <w:rPr>
          <w:rFonts w:ascii="Times New Roman" w:hAnsi="Times New Roman" w:cs="Times New Roman"/>
          <w:sz w:val="28"/>
          <w:szCs w:val="28"/>
        </w:rPr>
        <w:t>74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9F2E8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E60197" w:rsidRPr="00A074A4" w:rsidRDefault="00E60197" w:rsidP="00AC167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E09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C77810">
        <w:rPr>
          <w:rFonts w:ascii="Times New Roman" w:hAnsi="Times New Roman"/>
          <w:sz w:val="28"/>
          <w:szCs w:val="28"/>
        </w:rPr>
        <w:t>4</w:t>
      </w:r>
      <w:r w:rsidR="005A5514">
        <w:rPr>
          <w:rFonts w:ascii="Times New Roman" w:hAnsi="Times New Roman"/>
          <w:sz w:val="28"/>
          <w:szCs w:val="28"/>
        </w:rPr>
        <w:t>5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042C25">
        <w:rPr>
          <w:rFonts w:ascii="Times New Roman" w:hAnsi="Times New Roman"/>
          <w:sz w:val="28"/>
          <w:szCs w:val="28"/>
        </w:rPr>
        <w:t xml:space="preserve"> </w:t>
      </w:r>
      <w:r w:rsidR="00C77810">
        <w:rPr>
          <w:rFonts w:ascii="Times New Roman" w:hAnsi="Times New Roman"/>
          <w:sz w:val="28"/>
          <w:szCs w:val="28"/>
        </w:rPr>
        <w:t>6</w:t>
      </w:r>
      <w:r w:rsidR="005A5514">
        <w:rPr>
          <w:rFonts w:ascii="Times New Roman" w:hAnsi="Times New Roman"/>
          <w:sz w:val="28"/>
          <w:szCs w:val="28"/>
        </w:rPr>
        <w:t>4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2A4849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2A4849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042C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D66B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4D66BE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042C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75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64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созданы необходимые условия для охраны и укрепления здоровья, организации питания обучающихся, условия для индивидуальной работы с обучающимися </w:t>
      </w:r>
      <w:r w:rsidR="004042A1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(воспитанниками). 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82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D06D3E"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9F2E8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ближайшую </w:t>
      </w:r>
      <w:r w:rsidR="009F2E8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>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2A4849" w:rsidP="002D3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4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2A4849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  <w:bookmarkStart w:id="0" w:name="_GoBack"/>
      <w:bookmarkEnd w:id="0"/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955277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955277" w:rsidRPr="00F35FC1">
        <w:rPr>
          <w:rFonts w:ascii="Times New Roman" w:hAnsi="Times New Roman" w:cs="Times New Roman"/>
          <w:sz w:val="28"/>
          <w:szCs w:val="28"/>
        </w:rPr>
        <w:t>МОУ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348" w:rsidRDefault="00516348" w:rsidP="004B0B13">
      <w:pPr>
        <w:spacing w:after="0" w:line="240" w:lineRule="auto"/>
      </w:pPr>
      <w:r>
        <w:separator/>
      </w:r>
    </w:p>
  </w:endnote>
  <w:endnote w:type="continuationSeparator" w:id="1">
    <w:p w:rsidR="00516348" w:rsidRDefault="00516348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2A4849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042C2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348" w:rsidRDefault="00516348" w:rsidP="004B0B13">
      <w:pPr>
        <w:spacing w:after="0" w:line="240" w:lineRule="auto"/>
      </w:pPr>
      <w:r>
        <w:separator/>
      </w:r>
    </w:p>
  </w:footnote>
  <w:footnote w:type="continuationSeparator" w:id="1">
    <w:p w:rsidR="00516348" w:rsidRDefault="00516348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2C25"/>
    <w:rsid w:val="000438C0"/>
    <w:rsid w:val="00047E7C"/>
    <w:rsid w:val="00051A34"/>
    <w:rsid w:val="000E0926"/>
    <w:rsid w:val="001030EB"/>
    <w:rsid w:val="00135B6E"/>
    <w:rsid w:val="00145CC1"/>
    <w:rsid w:val="001A62D2"/>
    <w:rsid w:val="001C74D2"/>
    <w:rsid w:val="00214875"/>
    <w:rsid w:val="00237BE2"/>
    <w:rsid w:val="002673B2"/>
    <w:rsid w:val="002A4849"/>
    <w:rsid w:val="002B69ED"/>
    <w:rsid w:val="002C53E0"/>
    <w:rsid w:val="002D3F98"/>
    <w:rsid w:val="003B2184"/>
    <w:rsid w:val="003F1459"/>
    <w:rsid w:val="004042A1"/>
    <w:rsid w:val="00413D17"/>
    <w:rsid w:val="004203E0"/>
    <w:rsid w:val="004738CA"/>
    <w:rsid w:val="004B0B13"/>
    <w:rsid w:val="004B1B47"/>
    <w:rsid w:val="004C3049"/>
    <w:rsid w:val="004D34EF"/>
    <w:rsid w:val="004D66BE"/>
    <w:rsid w:val="00516348"/>
    <w:rsid w:val="00533FE8"/>
    <w:rsid w:val="00537B6E"/>
    <w:rsid w:val="00595369"/>
    <w:rsid w:val="005A5514"/>
    <w:rsid w:val="005A74A5"/>
    <w:rsid w:val="005D4015"/>
    <w:rsid w:val="00636A68"/>
    <w:rsid w:val="00640B95"/>
    <w:rsid w:val="006709AF"/>
    <w:rsid w:val="00717780"/>
    <w:rsid w:val="007979B3"/>
    <w:rsid w:val="007C5189"/>
    <w:rsid w:val="007E429A"/>
    <w:rsid w:val="008412E8"/>
    <w:rsid w:val="00861F87"/>
    <w:rsid w:val="00897D21"/>
    <w:rsid w:val="008B6AD1"/>
    <w:rsid w:val="008D2C0E"/>
    <w:rsid w:val="008E71C4"/>
    <w:rsid w:val="009352A7"/>
    <w:rsid w:val="00945277"/>
    <w:rsid w:val="00955277"/>
    <w:rsid w:val="009F2E83"/>
    <w:rsid w:val="00A006CB"/>
    <w:rsid w:val="00A074A4"/>
    <w:rsid w:val="00A340E6"/>
    <w:rsid w:val="00A44D0D"/>
    <w:rsid w:val="00A607A3"/>
    <w:rsid w:val="00A62CC3"/>
    <w:rsid w:val="00AA5C9D"/>
    <w:rsid w:val="00AC1678"/>
    <w:rsid w:val="00AE25C2"/>
    <w:rsid w:val="00B25212"/>
    <w:rsid w:val="00B54055"/>
    <w:rsid w:val="00BD6636"/>
    <w:rsid w:val="00C15373"/>
    <w:rsid w:val="00C32B6E"/>
    <w:rsid w:val="00C77810"/>
    <w:rsid w:val="00CF71C9"/>
    <w:rsid w:val="00D06D3E"/>
    <w:rsid w:val="00D971FC"/>
    <w:rsid w:val="00DB41FB"/>
    <w:rsid w:val="00DC718A"/>
    <w:rsid w:val="00E13D41"/>
    <w:rsid w:val="00E37F7F"/>
    <w:rsid w:val="00E60197"/>
    <w:rsid w:val="00E76AD4"/>
    <w:rsid w:val="00E92815"/>
    <w:rsid w:val="00EA198E"/>
    <w:rsid w:val="00EA546A"/>
    <w:rsid w:val="00ED3844"/>
    <w:rsid w:val="00F1614B"/>
    <w:rsid w:val="00F249C1"/>
    <w:rsid w:val="00F35FC1"/>
    <w:rsid w:val="00F51A14"/>
    <w:rsid w:val="00F62B86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7.4</c:v>
                </c:pt>
              </c:numCache>
            </c:numRef>
          </c:val>
        </c:ser>
        <c:axId val="58492416"/>
        <c:axId val="58493952"/>
      </c:barChart>
      <c:catAx>
        <c:axId val="58492416"/>
        <c:scaling>
          <c:orientation val="minMax"/>
        </c:scaling>
        <c:axPos val="b"/>
        <c:tickLblPos val="nextTo"/>
        <c:crossAx val="58493952"/>
        <c:crosses val="autoZero"/>
        <c:auto val="1"/>
        <c:lblAlgn val="ctr"/>
        <c:lblOffset val="100"/>
      </c:catAx>
      <c:valAx>
        <c:axId val="58493952"/>
        <c:scaling>
          <c:orientation val="minMax"/>
        </c:scaling>
        <c:axPos val="l"/>
        <c:majorGridlines/>
        <c:numFmt formatCode="General" sourceLinked="1"/>
        <c:tickLblPos val="nextTo"/>
        <c:crossAx val="584924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4.9000000000000004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6.2</c:v>
                </c:pt>
              </c:numCache>
            </c:numRef>
          </c:val>
        </c:ser>
        <c:axId val="112293760"/>
        <c:axId val="112295296"/>
      </c:barChart>
      <c:catAx>
        <c:axId val="112293760"/>
        <c:scaling>
          <c:orientation val="minMax"/>
        </c:scaling>
        <c:axPos val="b"/>
        <c:tickLblPos val="nextTo"/>
        <c:crossAx val="112295296"/>
        <c:crosses val="autoZero"/>
        <c:auto val="1"/>
        <c:lblAlgn val="ctr"/>
        <c:lblOffset val="100"/>
      </c:catAx>
      <c:valAx>
        <c:axId val="112295296"/>
        <c:scaling>
          <c:orientation val="minMax"/>
        </c:scaling>
        <c:axPos val="l"/>
        <c:majorGridlines/>
        <c:numFmt formatCode="#,##0.00" sourceLinked="0"/>
        <c:tickLblPos val="nextTo"/>
        <c:crossAx val="112293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65"/>
          <c:y val="5.0304665980356708E-4"/>
          <c:w val="0.33758611219909823"/>
          <c:h val="0.9565908943360891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</c:ser>
        <c:axId val="60436864"/>
        <c:axId val="60438400"/>
      </c:barChart>
      <c:catAx>
        <c:axId val="60436864"/>
        <c:scaling>
          <c:orientation val="minMax"/>
        </c:scaling>
        <c:axPos val="b"/>
        <c:tickLblPos val="nextTo"/>
        <c:crossAx val="60438400"/>
        <c:crosses val="autoZero"/>
        <c:auto val="1"/>
        <c:lblAlgn val="ctr"/>
        <c:lblOffset val="100"/>
      </c:catAx>
      <c:valAx>
        <c:axId val="60438400"/>
        <c:scaling>
          <c:orientation val="minMax"/>
        </c:scaling>
        <c:axPos val="l"/>
        <c:majorGridlines/>
        <c:numFmt formatCode="General" sourceLinked="1"/>
        <c:tickLblPos val="nextTo"/>
        <c:crossAx val="6043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5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8.2000000000000011</c:v>
                </c:pt>
              </c:numCache>
            </c:numRef>
          </c:val>
        </c:ser>
        <c:axId val="66895872"/>
        <c:axId val="66897408"/>
      </c:barChart>
      <c:catAx>
        <c:axId val="66895872"/>
        <c:scaling>
          <c:orientation val="minMax"/>
        </c:scaling>
        <c:axPos val="b"/>
        <c:tickLblPos val="nextTo"/>
        <c:crossAx val="66897408"/>
        <c:crosses val="autoZero"/>
        <c:auto val="1"/>
        <c:lblAlgn val="ctr"/>
        <c:lblOffset val="100"/>
      </c:catAx>
      <c:valAx>
        <c:axId val="66897408"/>
        <c:scaling>
          <c:orientation val="minMax"/>
        </c:scaling>
        <c:axPos val="l"/>
        <c:majorGridlines/>
        <c:numFmt formatCode="General" sourceLinked="1"/>
        <c:tickLblPos val="nextTo"/>
        <c:crossAx val="668958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9D5C-4BA7-4E23-ADA9-29BB92F3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30</cp:revision>
  <cp:lastPrinted>2018-09-17T02:42:00Z</cp:lastPrinted>
  <dcterms:created xsi:type="dcterms:W3CDTF">2018-09-02T05:02:00Z</dcterms:created>
  <dcterms:modified xsi:type="dcterms:W3CDTF">2018-10-03T03:07:00Z</dcterms:modified>
</cp:coreProperties>
</file>